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ind w:right="-284" w:firstLine="709"/>
        <w:rPr>
          <w:rFonts w:cs="Times New Roman"/>
          <w:b/>
          <w:b/>
          <w:szCs w:val="24"/>
        </w:rPr>
      </w:pPr>
      <w:r>
        <w:rPr>
          <w:rFonts w:cs="Times New Roman"/>
          <w:b/>
          <w:szCs w:val="24"/>
        </w:rPr>
        <w:t xml:space="preserve"> </w:t>
      </w:r>
      <w:r>
        <mc:AlternateContent>
          <mc:Choice Requires="wps">
            <w:drawing>
              <wp:anchor behindDoc="0" distT="0" distB="0" distL="114300" distR="114300" simplePos="0" locked="0" layoutInCell="1" allowOverlap="1" relativeHeight="2">
                <wp:simplePos x="0" y="0"/>
                <wp:positionH relativeFrom="page">
                  <wp:posOffset>591185</wp:posOffset>
                </wp:positionH>
                <wp:positionV relativeFrom="paragraph">
                  <wp:posOffset>-113030</wp:posOffset>
                </wp:positionV>
                <wp:extent cx="6499225" cy="1106170"/>
                <wp:effectExtent l="0" t="0" r="0" b="0"/>
                <wp:wrapSquare wrapText="bothSides"/>
                <wp:docPr id="1" name="Çerçeve1"/>
                <a:graphic xmlns:a="http://schemas.openxmlformats.org/drawingml/2006/main">
                  <a:graphicData uri="http://schemas.microsoft.com/office/word/2010/wordprocessingShape">
                    <wps:wsp>
                      <wps:cNvSpPr txBox="1"/>
                      <wps:spPr>
                        <a:xfrm>
                          <a:off x="0" y="0"/>
                          <a:ext cx="6499225" cy="1106170"/>
                        </a:xfrm>
                        <a:prstGeom prst="rect"/>
                      </wps:spPr>
                      <wps:txbx>
                        <w:txbxContent>
                          <w:tbl>
                            <w:tblPr>
                              <w:tblStyle w:val="TableGrid"/>
                              <w:tblpPr w:bottomFromText="0" w:horzAnchor="page" w:leftFromText="180" w:rightFromText="180" w:tblpX="1044" w:tblpY="-178" w:topFromText="0" w:vertAnchor="text"/>
                              <w:tblW w:w="10235" w:type="dxa"/>
                              <w:jc w:val="left"/>
                              <w:tblInd w:w="108" w:type="dxa"/>
                              <w:tblCellMar>
                                <w:top w:w="0" w:type="dxa"/>
                                <w:left w:w="103" w:type="dxa"/>
                                <w:bottom w:w="0" w:type="dxa"/>
                                <w:right w:w="108" w:type="dxa"/>
                              </w:tblCellMar>
                              <w:tblLook w:firstRow="1" w:noVBand="1" w:lastRow="0" w:firstColumn="1" w:lastColumn="0" w:noHBand="0" w:val="04a0"/>
                            </w:tblPr>
                            <w:tblGrid>
                              <w:gridCol w:w="10235"/>
                            </w:tblGrid>
                            <w:tr>
                              <w:trPr>
                                <w:trHeight w:val="1695" w:hRule="atLeast"/>
                              </w:trPr>
                              <w:tc>
                                <w:tcPr>
                                  <w:tcW w:w="10235" w:type="dxa"/>
                                  <w:tcBorders/>
                                  <w:shd w:fill="auto" w:val="clear"/>
                                  <w:tcMar>
                                    <w:left w:w="103" w:type="dxa"/>
                                  </w:tcMar>
                                </w:tcPr>
                                <w:p>
                                  <w:pPr>
                                    <w:pStyle w:val="Normal"/>
                                    <w:spacing w:lineRule="auto" w:line="240" w:before="120" w:after="0"/>
                                    <w:ind w:hanging="0"/>
                                    <w:jc w:val="left"/>
                                    <w:rPr>
                                      <w:rFonts w:asciiTheme="minorHAnsi" w:hAnsiTheme="minorHAnsi"/>
                                    </w:rPr>
                                  </w:pPr>
                                  <w:r>
                                    <w:rPr>
                                      <w:rFonts w:cs="Times New Roman"/>
                                      <w:sz w:val="26"/>
                                      <w:szCs w:val="26"/>
                                    </w:rPr>
                                    <w:t>Yalova Üniversitesi Hukuk Fakültesi</w:t>
                                  </w:r>
                                </w:p>
                                <w:p>
                                  <w:pPr>
                                    <w:pStyle w:val="Normal"/>
                                    <w:spacing w:lineRule="auto" w:line="240" w:before="120" w:after="0"/>
                                    <w:ind w:hanging="0"/>
                                    <w:jc w:val="left"/>
                                    <w:rPr>
                                      <w:rFonts w:asciiTheme="minorHAnsi" w:hAnsiTheme="minorHAnsi"/>
                                    </w:rPr>
                                  </w:pPr>
                                  <w:r>
                                    <w:rPr>
                                      <w:rFonts w:cs="Times New Roman"/>
                                      <w:b/>
                                      <w:sz w:val="28"/>
                                      <w:szCs w:val="28"/>
                                    </w:rPr>
                                    <w:t>Miras Hukuku Dersi</w:t>
                                  </w:r>
                                </w:p>
                                <w:p>
                                  <w:pPr>
                                    <w:pStyle w:val="Normal"/>
                                    <w:spacing w:lineRule="auto" w:line="240" w:before="120" w:after="0"/>
                                    <w:ind w:hanging="0"/>
                                    <w:jc w:val="left"/>
                                    <w:rPr>
                                      <w:rFonts w:asciiTheme="minorHAnsi" w:hAnsiTheme="minorHAnsi"/>
                                    </w:rPr>
                                  </w:pPr>
                                  <w:r>
                                    <w:rPr>
                                      <w:rFonts w:cs="Times New Roman"/>
                                      <w:b/>
                                      <w:sz w:val="28"/>
                                      <w:szCs w:val="28"/>
                                    </w:rPr>
                                    <w:t>Pratik Çalışma No:3</w:t>
                                  </w:r>
                                </w:p>
                                <w:p>
                                  <w:pPr>
                                    <w:pStyle w:val="Normal"/>
                                    <w:spacing w:lineRule="auto" w:line="240" w:before="120" w:after="0"/>
                                    <w:ind w:hanging="0"/>
                                    <w:jc w:val="left"/>
                                    <w:rPr>
                                      <w:rFonts w:asciiTheme="minorHAnsi" w:hAnsiTheme="minorHAnsi"/>
                                    </w:rPr>
                                  </w:pPr>
                                  <w:bookmarkStart w:id="0" w:name="_Hlk89073391"/>
                                  <w:bookmarkEnd w:id="0"/>
                                  <w:r>
                                    <w:rPr>
                                      <w:rFonts w:cs="Times New Roman"/>
                                      <w:i/>
                                      <w:sz w:val="26"/>
                                      <w:szCs w:val="26"/>
                                    </w:rPr>
                                    <w:t>17.05.2019</w:t>
                                  </w:r>
                                </w:p>
                              </w:tc>
                            </w:tr>
                          </w:tbl>
                        </w:txbxContent>
                      </wps:txbx>
                      <wps:bodyPr anchor="t" lIns="0" tIns="0" rIns="0" bIns="0">
                        <a:spAutoFit/>
                      </wps:bodyPr>
                    </wps:wsp>
                  </a:graphicData>
                </a:graphic>
              </wp:anchor>
            </w:drawing>
          </mc:Choice>
          <mc:Fallback>
            <w:pict>
              <v:rect style="position:absolute;rotation:0;width:511.75pt;height:87.1pt;mso-wrap-distance-left:9pt;mso-wrap-distance-right:9pt;mso-wrap-distance-top:0pt;mso-wrap-distance-bottom:0pt;margin-top:-8.9pt;mso-position-vertical-relative:text;margin-left:46.55pt;mso-position-horizontal-relative:page">
                <v:textbox inset="0in,0in,0in,0in">
                  <w:txbxContent>
                    <w:tbl>
                      <w:tblPr>
                        <w:tblStyle w:val="TableGrid"/>
                        <w:tblpPr w:bottomFromText="0" w:horzAnchor="page" w:leftFromText="180" w:rightFromText="180" w:tblpX="1044" w:tblpY="-178" w:topFromText="0" w:vertAnchor="text"/>
                        <w:tblW w:w="10235" w:type="dxa"/>
                        <w:jc w:val="left"/>
                        <w:tblInd w:w="108" w:type="dxa"/>
                        <w:tblCellMar>
                          <w:top w:w="0" w:type="dxa"/>
                          <w:left w:w="103" w:type="dxa"/>
                          <w:bottom w:w="0" w:type="dxa"/>
                          <w:right w:w="108" w:type="dxa"/>
                        </w:tblCellMar>
                        <w:tblLook w:firstRow="1" w:noVBand="1" w:lastRow="0" w:firstColumn="1" w:lastColumn="0" w:noHBand="0" w:val="04a0"/>
                      </w:tblPr>
                      <w:tblGrid>
                        <w:gridCol w:w="10235"/>
                      </w:tblGrid>
                      <w:tr>
                        <w:trPr>
                          <w:trHeight w:val="1695" w:hRule="atLeast"/>
                        </w:trPr>
                        <w:tc>
                          <w:tcPr>
                            <w:tcW w:w="10235" w:type="dxa"/>
                            <w:tcBorders/>
                            <w:shd w:fill="auto" w:val="clear"/>
                            <w:tcMar>
                              <w:left w:w="103" w:type="dxa"/>
                            </w:tcMar>
                          </w:tcPr>
                          <w:p>
                            <w:pPr>
                              <w:pStyle w:val="Normal"/>
                              <w:spacing w:lineRule="auto" w:line="240" w:before="120" w:after="0"/>
                              <w:ind w:hanging="0"/>
                              <w:jc w:val="left"/>
                              <w:rPr>
                                <w:rFonts w:asciiTheme="minorHAnsi" w:hAnsiTheme="minorHAnsi"/>
                              </w:rPr>
                            </w:pPr>
                            <w:r>
                              <w:rPr>
                                <w:rFonts w:cs="Times New Roman"/>
                                <w:sz w:val="26"/>
                                <w:szCs w:val="26"/>
                              </w:rPr>
                              <w:t>Yalova Üniversitesi Hukuk Fakültesi</w:t>
                            </w:r>
                          </w:p>
                          <w:p>
                            <w:pPr>
                              <w:pStyle w:val="Normal"/>
                              <w:spacing w:lineRule="auto" w:line="240" w:before="120" w:after="0"/>
                              <w:ind w:hanging="0"/>
                              <w:jc w:val="left"/>
                              <w:rPr>
                                <w:rFonts w:asciiTheme="minorHAnsi" w:hAnsiTheme="minorHAnsi"/>
                              </w:rPr>
                            </w:pPr>
                            <w:r>
                              <w:rPr>
                                <w:rFonts w:cs="Times New Roman"/>
                                <w:b/>
                                <w:sz w:val="28"/>
                                <w:szCs w:val="28"/>
                              </w:rPr>
                              <w:t>Miras Hukuku Dersi</w:t>
                            </w:r>
                          </w:p>
                          <w:p>
                            <w:pPr>
                              <w:pStyle w:val="Normal"/>
                              <w:spacing w:lineRule="auto" w:line="240" w:before="120" w:after="0"/>
                              <w:ind w:hanging="0"/>
                              <w:jc w:val="left"/>
                              <w:rPr>
                                <w:rFonts w:asciiTheme="minorHAnsi" w:hAnsiTheme="minorHAnsi"/>
                              </w:rPr>
                            </w:pPr>
                            <w:r>
                              <w:rPr>
                                <w:rFonts w:cs="Times New Roman"/>
                                <w:b/>
                                <w:sz w:val="28"/>
                                <w:szCs w:val="28"/>
                              </w:rPr>
                              <w:t>Pratik Çalışma No:3</w:t>
                            </w:r>
                          </w:p>
                          <w:p>
                            <w:pPr>
                              <w:pStyle w:val="Normal"/>
                              <w:spacing w:lineRule="auto" w:line="240" w:before="120" w:after="0"/>
                              <w:ind w:hanging="0"/>
                              <w:jc w:val="left"/>
                              <w:rPr>
                                <w:rFonts w:asciiTheme="minorHAnsi" w:hAnsiTheme="minorHAnsi"/>
                              </w:rPr>
                            </w:pPr>
                            <w:bookmarkStart w:id="1" w:name="_Hlk89073391"/>
                            <w:bookmarkEnd w:id="1"/>
                            <w:r>
                              <w:rPr>
                                <w:rFonts w:cs="Times New Roman"/>
                                <w:i/>
                                <w:sz w:val="26"/>
                                <w:szCs w:val="26"/>
                              </w:rPr>
                              <w:t>17.05.2019</w:t>
                            </w:r>
                          </w:p>
                        </w:tc>
                      </w:tr>
                    </w:tbl>
                  </w:txbxContent>
                </v:textbox>
                <w10:wrap type="square"/>
              </v:rect>
            </w:pict>
          </mc:Fallback>
        </mc:AlternateContent>
      </w:r>
    </w:p>
    <w:p>
      <w:pPr>
        <w:pStyle w:val="Normal"/>
        <w:spacing w:lineRule="auto" w:line="276" w:before="0" w:after="120"/>
        <w:ind w:right="-284" w:firstLine="709"/>
        <w:rPr/>
      </w:pPr>
      <w:r>
        <w:rPr>
          <w:rFonts w:cs="Times New Roman"/>
          <w:b/>
          <w:szCs w:val="24"/>
        </w:rPr>
        <w:t>OLAY I</w:t>
      </w:r>
    </w:p>
    <w:p>
      <w:pPr>
        <w:pStyle w:val="Normal"/>
        <w:spacing w:lineRule="auto" w:line="276" w:before="0" w:after="120"/>
        <w:ind w:right="-284" w:firstLine="284"/>
        <w:rPr>
          <w:rFonts w:cs="Times New Roman"/>
          <w:szCs w:val="24"/>
        </w:rPr>
      </w:pPr>
      <w:r>
        <w:rPr>
          <w:rFonts w:cs="Times New Roman"/>
          <w:szCs w:val="24"/>
        </w:rPr>
        <w:t xml:space="preserve">Bay A ile Bayan B’nin C, D ve E olmak üzere toplam üç çocukları vardır. Stresli iş hayatından bunalan A, oğlu E ile birlikte avlanmak için kullandıkları çiftlik evine gider. Ava çıkmadan önce hazırlıklarını yaptıkları bir esnada, E’nin temizlemekte olduğu silah yanlışlıkla ateş alır ve A yaralanır. Araba kullanamadığı için babasını hastaneye götüremeyen E, hemen ambulans çağırır. Ancak A’ya zamanında müdahale edilemez ve A ölür. A’nın ölümünün ardından, A’nın avukatı F, A’nın kendisine bir süre önce yazıp teslim etmiş olduğu vasiyetnameyi aile üyelerine açıklar. Söz konusu vasiyetnamede A, X Bankası’nda yer alan mevduat hesabında bulunan 60.000 TL’yi üniversite yıllarında etkinliklerinde görev aldığı, faaliyetlerine devam etmesini istediği tiyatro topluluğuna bıraktığını ve tüm borçlarından dolayı da yalnızca C’yi sorumlu kıldığını beyan etmiştir. Ancak yapılan inceleme sonucunda söz konusu topluluğun tüzel kişiliği olmaksızın faaliyet gösterdiği tespit edilmiştir. </w:t>
      </w:r>
    </w:p>
    <w:p>
      <w:pPr>
        <w:pStyle w:val="Normal"/>
        <w:spacing w:lineRule="auto" w:line="276" w:before="0" w:after="120"/>
        <w:ind w:right="-284" w:firstLine="284"/>
        <w:rPr>
          <w:rFonts w:cs="Times New Roman"/>
          <w:szCs w:val="24"/>
        </w:rPr>
      </w:pPr>
      <w:r>
        <w:rPr>
          <w:rFonts w:cs="Times New Roman"/>
          <w:szCs w:val="24"/>
        </w:rPr>
        <w:t xml:space="preserve">Uzun yıllardır ekonomik durumu bir hayli kötü olan ve mirastan gelecek olan paraya ihtiyaç duyan D, mirasın derhal paylaşılması için mahkemeye başvurur. D, bu başvurusunda E’nin babalarının ölümüne sebebiyet vermesi sebebiyle mirasçı olarak değerlendirilmemesi gerektiğini de belirtmiştir. Mirasın paylaştırılmasına ilişkin talebin tebliği üzerine, bir süre önce hamile olduğunu öğrenen B, paylaşımın derhal yapılmasına karşı çıkar. B’nin muhalefeti sebebiyle sürecin uzaması üzerine D, miras payını alacaklısı G’ye devreder. </w:t>
      </w:r>
    </w:p>
    <w:p>
      <w:pPr>
        <w:pStyle w:val="Normal"/>
        <w:spacing w:lineRule="auto" w:line="276" w:before="0" w:after="120"/>
        <w:ind w:right="-284" w:firstLine="284"/>
        <w:rPr>
          <w:rFonts w:cs="Times New Roman"/>
          <w:szCs w:val="24"/>
        </w:rPr>
      </w:pPr>
      <w:r>
        <w:rPr>
          <w:rFonts w:cs="Times New Roman"/>
          <w:szCs w:val="24"/>
        </w:rPr>
        <w:t>Ölüm haberini alan A’nın alacaklısı H, B’ye başvurarak 70.000 TL tutarındaki muaccel alacağının ödenmesini talep eder. B ise, A’nın vasiyetnamesi ile borçlardan dolayı yalnızca C’nin sorumlu olduğunu belirterek bu talebe karşı çıkar.</w:t>
      </w:r>
    </w:p>
    <w:p>
      <w:pPr>
        <w:pStyle w:val="Normal"/>
        <w:spacing w:lineRule="auto" w:line="276" w:before="0" w:after="120"/>
        <w:ind w:right="-284" w:firstLine="284"/>
        <w:rPr>
          <w:rFonts w:cs="Times New Roman"/>
          <w:szCs w:val="24"/>
        </w:rPr>
      </w:pPr>
      <w:r>
        <w:rPr>
          <w:rFonts w:cs="Times New Roman"/>
          <w:szCs w:val="24"/>
        </w:rPr>
        <w:t>(Öldüğü tarih itibariyle A’nın malvarlığı değerleri: 500.000 TL değerindeki eşiyle birlikte yaşadığı konut, 360.000 TL değerinde tarla, bankadaki 60.000 TL tutarındaki mevduat, 30.000 TL değerindeki ev eşyasıdır).</w:t>
      </w:r>
    </w:p>
    <w:p>
      <w:pPr>
        <w:pStyle w:val="Normal"/>
        <w:spacing w:lineRule="auto" w:line="276"/>
        <w:ind w:right="-284" w:firstLine="426"/>
        <w:rPr>
          <w:rFonts w:cs="Times New Roman"/>
          <w:szCs w:val="24"/>
        </w:rPr>
      </w:pPr>
      <w:r>
        <w:rPr>
          <w:rFonts w:cs="Times New Roman"/>
          <w:szCs w:val="24"/>
        </w:rPr>
        <w:t>Not: Eşler arasında evlilik tarihinden itibaren mal ayrılığı rejimi uygulanmaktadır.</w:t>
      </w:r>
    </w:p>
    <w:p>
      <w:pPr>
        <w:pStyle w:val="Normal"/>
        <w:spacing w:lineRule="auto" w:line="276"/>
        <w:ind w:right="-284" w:firstLine="426"/>
        <w:rPr>
          <w:rFonts w:cs="Times New Roman"/>
          <w:b/>
          <w:b/>
          <w:szCs w:val="24"/>
        </w:rPr>
      </w:pPr>
      <w:r>
        <w:rPr>
          <w:rFonts w:cs="Times New Roman"/>
          <w:b/>
          <w:szCs w:val="24"/>
        </w:rPr>
        <w:t>SORULAR</w:t>
      </w:r>
    </w:p>
    <w:p>
      <w:pPr>
        <w:pStyle w:val="Normal"/>
        <w:spacing w:lineRule="auto" w:line="276" w:before="0" w:after="120"/>
        <w:ind w:right="-284" w:hanging="0"/>
        <w:rPr>
          <w:rFonts w:cs="Times New Roman"/>
          <w:szCs w:val="24"/>
        </w:rPr>
      </w:pPr>
      <w:r>
        <w:rPr>
          <w:rFonts w:cs="Times New Roman"/>
          <w:b/>
          <w:szCs w:val="24"/>
        </w:rPr>
        <w:t>1.</w:t>
      </w:r>
      <w:r>
        <w:rPr>
          <w:rFonts w:cs="Times New Roman"/>
          <w:szCs w:val="24"/>
        </w:rPr>
        <w:t>Terekenin borçlarından dolayı yalnızca C’nin sorumlu olduğuna dönük savunmada bulunan B haklı mıdır?</w:t>
      </w:r>
    </w:p>
    <w:p>
      <w:pPr>
        <w:pStyle w:val="Normal"/>
        <w:spacing w:lineRule="auto" w:line="276" w:before="0" w:after="120"/>
        <w:ind w:right="-284" w:hanging="0"/>
        <w:rPr>
          <w:rFonts w:cs="Times New Roman"/>
          <w:szCs w:val="24"/>
        </w:rPr>
      </w:pPr>
      <w:r>
        <w:rPr>
          <w:rFonts w:cs="Times New Roman"/>
          <w:b/>
          <w:szCs w:val="24"/>
        </w:rPr>
        <w:t>2.</w:t>
      </w:r>
      <w:r>
        <w:rPr>
          <w:rFonts w:cs="Times New Roman"/>
          <w:szCs w:val="24"/>
        </w:rPr>
        <w:t>Tüzel kişiliği olmaksızın faaliyet gösteren tiyatro topluluğu lehine gerçekleştirilmesi arzulanan kazandırmanın akıbeti ne olacaktır?</w:t>
      </w:r>
    </w:p>
    <w:p>
      <w:pPr>
        <w:pStyle w:val="Normal"/>
        <w:spacing w:lineRule="auto" w:line="276" w:before="0" w:after="120"/>
        <w:ind w:right="-284" w:hanging="0"/>
        <w:rPr>
          <w:rFonts w:cs="Times New Roman"/>
          <w:szCs w:val="24"/>
        </w:rPr>
      </w:pPr>
      <w:r>
        <w:rPr>
          <w:rFonts w:cs="Times New Roman"/>
          <w:b/>
          <w:szCs w:val="24"/>
        </w:rPr>
        <w:t>3.</w:t>
      </w:r>
      <w:r>
        <w:rPr>
          <w:rFonts w:cs="Times New Roman"/>
          <w:szCs w:val="24"/>
        </w:rPr>
        <w:t>E’nin mirasçı olarak değerlendirilmemesi gerektiğini belirten D haklı mıdır?</w:t>
      </w:r>
    </w:p>
    <w:p>
      <w:pPr>
        <w:pStyle w:val="Normal"/>
        <w:spacing w:lineRule="auto" w:line="276" w:before="0" w:after="120"/>
        <w:ind w:right="-284" w:hanging="0"/>
        <w:rPr>
          <w:rFonts w:cs="Times New Roman"/>
          <w:szCs w:val="24"/>
        </w:rPr>
      </w:pPr>
      <w:r>
        <w:rPr>
          <w:rFonts w:cs="Times New Roman"/>
          <w:b/>
          <w:szCs w:val="24"/>
        </w:rPr>
        <w:t>4.</w:t>
      </w:r>
      <w:r>
        <w:rPr>
          <w:rFonts w:cs="Times New Roman"/>
          <w:szCs w:val="24"/>
        </w:rPr>
        <w:t>D’nin miras payını bir başkasına devretmesi mümkün müdür? Mümkünse nasıl? Söz konusu işlemin hüküm ve sonuçları nelerdir?</w:t>
      </w:r>
    </w:p>
    <w:p>
      <w:pPr>
        <w:pStyle w:val="Normal"/>
        <w:spacing w:lineRule="auto" w:line="276" w:before="0" w:after="120"/>
        <w:ind w:right="-284" w:hanging="0"/>
        <w:rPr>
          <w:rFonts w:cs="Times New Roman"/>
          <w:szCs w:val="24"/>
        </w:rPr>
      </w:pPr>
      <w:r>
        <w:rPr>
          <w:rFonts w:cs="Times New Roman"/>
          <w:b/>
          <w:szCs w:val="24"/>
        </w:rPr>
        <w:t>5.</w:t>
      </w:r>
      <w:r>
        <w:rPr>
          <w:rFonts w:cs="Times New Roman"/>
          <w:szCs w:val="24"/>
        </w:rPr>
        <w:t>B’nin, mirasın derhal paylaşılmasına karşı çıkmasının dayanağı ne olabilir?</w:t>
      </w:r>
    </w:p>
    <w:p>
      <w:pPr>
        <w:pStyle w:val="Normal"/>
        <w:spacing w:lineRule="auto" w:line="276" w:before="0" w:after="120"/>
        <w:ind w:right="-284" w:hanging="0"/>
        <w:rPr>
          <w:rFonts w:cs="Times New Roman"/>
          <w:szCs w:val="24"/>
        </w:rPr>
      </w:pPr>
      <w:r>
        <w:rPr>
          <w:rFonts w:cs="Times New Roman"/>
          <w:b/>
          <w:szCs w:val="24"/>
        </w:rPr>
        <w:t>6.</w:t>
      </w:r>
      <w:r>
        <w:rPr>
          <w:rFonts w:cs="Times New Roman"/>
          <w:szCs w:val="24"/>
        </w:rPr>
        <w:t>C, tarla üzerindeki elbirliğiyle mülkiyetin paylı mülkiyete dönüştürülmesini talep edebilir mi? Buna engel olmak isteyen mirasçıların elinde herhangi bir hukukî imkân mevcut mudur?</w:t>
      </w:r>
    </w:p>
    <w:p>
      <w:pPr>
        <w:pStyle w:val="Normal"/>
        <w:spacing w:lineRule="auto" w:line="276"/>
        <w:ind w:right="-284" w:hanging="0"/>
        <w:rPr>
          <w:rFonts w:cs="Times New Roman"/>
          <w:szCs w:val="24"/>
        </w:rPr>
      </w:pPr>
      <w:r>
        <w:rPr>
          <w:rFonts w:cs="Times New Roman"/>
          <w:b/>
          <w:szCs w:val="24"/>
        </w:rPr>
        <w:t>7.</w:t>
      </w:r>
      <w:r>
        <w:rPr>
          <w:rFonts w:cs="Times New Roman"/>
          <w:szCs w:val="24"/>
        </w:rPr>
        <w:t>Yıllardır eşiyle birlikte yaşadığı konutta kalmaya devam etmek isteyen B’nin başvurabileceği bir yol var mıdır?</w:t>
      </w:r>
    </w:p>
    <w:p>
      <w:pPr>
        <w:pStyle w:val="Normal"/>
        <w:ind w:left="851" w:hanging="0"/>
        <w:rPr/>
      </w:pPr>
      <w:r>
        <w:rPr/>
      </w:r>
    </w:p>
    <w:p>
      <w:pPr>
        <w:pStyle w:val="Normal"/>
        <w:spacing w:lineRule="auto" w:line="276"/>
        <w:ind w:right="-284" w:firstLine="284"/>
        <w:rPr>
          <w:b/>
          <w:b/>
        </w:rPr>
      </w:pPr>
      <w:r>
        <w:rPr>
          <w:b/>
        </w:rPr>
        <w:t>OLAY II</w:t>
      </w:r>
    </w:p>
    <w:p>
      <w:pPr>
        <w:pStyle w:val="Normal"/>
        <w:spacing w:lineRule="auto" w:line="276" w:before="0" w:after="120"/>
        <w:ind w:right="-284" w:firstLine="284"/>
        <w:rPr/>
      </w:pPr>
      <w:r>
        <w:rPr/>
        <w:t xml:space="preserve">04.04.2019 tarihinde vefat eden klasik gitar koleksiyoneri (M)’nin terekesi biriktirdiği gitarlardan ibarettir. Çocukları (Ç1), (Ç2), (Ç2)’nin kızı (T1), kendisinden önce vefat eden kızı (Ç3)’ün 15 yaşındaki oğlu (T2) Bay (M)’nin ölümünü, ölüm tarihinde öğrenmişlerdir. (Ç2), 10.04.2019 tarihinde babasının evine giderek eşyalarını toplar. </w:t>
      </w:r>
    </w:p>
    <w:p>
      <w:pPr>
        <w:pStyle w:val="Normal"/>
        <w:spacing w:lineRule="auto" w:line="276" w:before="0" w:after="120"/>
        <w:ind w:right="-284" w:firstLine="284"/>
        <w:rPr/>
      </w:pPr>
      <w:r>
        <w:rPr/>
        <w:t>08.05.2019 tarihinde (T1), babası (Ç2)’yi uyandırmak için odasına gittiğinde yatağında ölmüş olduğunu fark eder. Adli tıp incelemesine göre ölüm 07.05.2019’da gerçekleşmiştir.</w:t>
      </w:r>
    </w:p>
    <w:p>
      <w:pPr>
        <w:pStyle w:val="Normal"/>
        <w:spacing w:lineRule="auto" w:line="276"/>
        <w:ind w:left="-284" w:right="-284" w:firstLine="568"/>
        <w:rPr/>
      </w:pPr>
      <w:r>
        <w:rPr/>
        <w:t>Malvarlığı borçlarını karşılamaya yetmeyen (Ç1), 10.05.2019 tarihinde (M)’nin mirasını reddetmiştir.</w:t>
      </w:r>
    </w:p>
    <w:p>
      <w:pPr>
        <w:pStyle w:val="Normal"/>
        <w:spacing w:lineRule="auto" w:line="276"/>
        <w:ind w:left="-284" w:right="-284" w:firstLine="568"/>
        <w:rPr>
          <w:b/>
          <w:b/>
        </w:rPr>
      </w:pPr>
      <w:r>
        <w:rPr>
          <w:b/>
        </w:rPr>
        <w:t>SORULAR</w:t>
      </w:r>
    </w:p>
    <w:p>
      <w:pPr>
        <w:pStyle w:val="Normal"/>
        <w:spacing w:lineRule="auto" w:line="276" w:before="0" w:after="120"/>
        <w:ind w:right="-284" w:hanging="0"/>
        <w:rPr/>
      </w:pPr>
      <w:r>
        <w:rPr>
          <w:b/>
        </w:rPr>
        <w:t>1.</w:t>
      </w:r>
      <w:r>
        <w:rPr/>
        <w:t>(T1) kimlerden kalacak mirası hangi süreler içinde reddedebilir?</w:t>
      </w:r>
    </w:p>
    <w:p>
      <w:pPr>
        <w:pStyle w:val="Normal"/>
        <w:spacing w:lineRule="auto" w:line="276" w:before="0" w:after="120"/>
        <w:ind w:right="-284" w:hanging="0"/>
        <w:rPr/>
      </w:pPr>
      <w:r>
        <w:rPr>
          <w:b/>
        </w:rPr>
        <w:t>2. a)</w:t>
      </w:r>
      <w:r>
        <w:rPr/>
        <w:t xml:space="preserve"> (Ç2)’nin babasının eşyalarını toplarken evinde bulduğu antika bir gitarı zimmetine geçirmiş olsaydı birinci soruya vereceğiniz cevap değişir miydi?</w:t>
      </w:r>
    </w:p>
    <w:p>
      <w:pPr>
        <w:pStyle w:val="ListParagraph"/>
        <w:spacing w:lineRule="auto" w:line="276"/>
        <w:ind w:left="0" w:right="-284" w:firstLine="284"/>
        <w:rPr/>
      </w:pPr>
      <w:r>
        <w:rPr>
          <w:b/>
        </w:rPr>
        <w:t xml:space="preserve"> </w:t>
      </w:r>
      <w:r>
        <w:rPr>
          <w:b/>
        </w:rPr>
        <w:t xml:space="preserve">b) </w:t>
      </w:r>
      <w:r>
        <w:rPr/>
        <w:t>Bay (M)’nin terekesinde bulunan antika gitarlardan bir kaçını (M)’nin yardımcısı Bay (K)’nın satması durumunda, mirasçıların satılan gitarları devralan kimselerden geri alması mümkün müdür? Mümkün ise nasıl?</w:t>
      </w:r>
    </w:p>
    <w:p>
      <w:pPr>
        <w:pStyle w:val="ListParagraph"/>
        <w:spacing w:lineRule="auto" w:line="276" w:before="0" w:after="120"/>
        <w:ind w:left="0" w:right="-284" w:hanging="0"/>
        <w:rPr/>
      </w:pPr>
      <w:r>
        <w:rPr>
          <w:b/>
        </w:rPr>
        <w:t>3.</w:t>
      </w:r>
      <w:r>
        <w:rPr/>
        <w:t>(T2)’nin mirası reddetmek istemesi durumunda bu işleme kim veya kimler katılmalıdır?</w:t>
      </w:r>
    </w:p>
    <w:p>
      <w:pPr>
        <w:pStyle w:val="Normal"/>
        <w:spacing w:lineRule="auto" w:line="276"/>
        <w:ind w:right="-284" w:hanging="0"/>
        <w:rPr/>
      </w:pPr>
      <w:bookmarkStart w:id="2" w:name="_GoBack"/>
      <w:bookmarkEnd w:id="2"/>
      <w:r>
        <w:rPr>
          <w:b/>
        </w:rPr>
        <w:t>4.</w:t>
      </w:r>
      <w:bookmarkStart w:id="3" w:name="_Hlk8907254"/>
      <w:bookmarkStart w:id="4" w:name="_Hlk8906817"/>
      <w:bookmarkStart w:id="5" w:name="_Hlk8907147"/>
      <w:bookmarkEnd w:id="3"/>
      <w:bookmarkEnd w:id="4"/>
      <w:bookmarkEnd w:id="5"/>
      <w:r>
        <w:rPr/>
        <w:t>(Ç1)’in alacaklılarının başvurabileceği herhangi bir hukuki imkân var mıdır?</w:t>
      </w:r>
    </w:p>
    <w:p>
      <w:pPr>
        <w:pStyle w:val="Normal"/>
        <w:widowControl/>
        <w:bidi w:val="0"/>
        <w:spacing w:lineRule="auto" w:line="360" w:before="0" w:after="240"/>
        <w:ind w:firstLine="851"/>
        <w:jc w:val="left"/>
        <w:rPr/>
      </w:pPr>
      <w:r>
        <w:rPr/>
      </w:r>
    </w:p>
    <w:sectPr>
      <w:type w:val="nextPage"/>
      <w:pgSz w:w="11906" w:h="16838"/>
      <w:pgMar w:left="851" w:right="851" w:header="0" w:top="851" w:footer="0"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Liberation Sans">
    <w:altName w:val="Arial"/>
    <w:charset w:val="a2"/>
    <w:family w:val="swiss"/>
    <w:pitch w:val="variable"/>
  </w:font>
</w:fonts>
</file>

<file path=word/settings.xml><?xml version="1.0" encoding="utf-8"?>
<w:settings xmlns:w="http://schemas.openxmlformats.org/wordprocessingml/2006/main">
  <w:zoom w:percent="6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tr-TR"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10e8"/>
    <w:pPr>
      <w:widowControl/>
      <w:bidi w:val="0"/>
      <w:spacing w:lineRule="auto" w:line="360" w:before="0" w:after="240"/>
      <w:ind w:firstLine="851"/>
      <w:jc w:val="left"/>
    </w:pPr>
    <w:rPr>
      <w:rFonts w:ascii="Times New Roman" w:hAnsi="Times New Roman" w:eastAsia="Calibri" w:cs="" w:cstheme="minorBidi" w:eastAsiaTheme="minorHAnsi"/>
      <w:color w:val="auto"/>
      <w:sz w:val="24"/>
      <w:szCs w:val="22"/>
      <w:lang w:val="tr-TR" w:eastAsia="en-US" w:bidi="ar-SA"/>
    </w:rPr>
  </w:style>
  <w:style w:type="paragraph" w:styleId="Balk1">
    <w:name w:val="Heading 1"/>
    <w:basedOn w:val="Normal"/>
    <w:next w:val="Normal"/>
    <w:link w:val="Heading1Char"/>
    <w:uiPriority w:val="9"/>
    <w:qFormat/>
    <w:rsid w:val="00874ad8"/>
    <w:pPr>
      <w:keepNext/>
      <w:keepLines/>
      <w:tabs>
        <w:tab w:val="left" w:pos="2268" w:leader="none"/>
      </w:tabs>
      <w:spacing w:lineRule="auto" w:line="720" w:before="360" w:after="120"/>
      <w:outlineLvl w:val="0"/>
    </w:pPr>
    <w:rPr>
      <w:rFonts w:eastAsia="游ゴシック Light" w:cs="" w:cstheme="majorBidi" w:eastAsiaTheme="majorEastAsia"/>
      <w:b/>
      <w:sz w:val="28"/>
      <w:szCs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74ad8"/>
    <w:rPr>
      <w:rFonts w:ascii="Times New Roman" w:hAnsi="Times New Roman" w:eastAsia="游ゴシック Light" w:cs="" w:cstheme="majorBidi" w:eastAsiaTheme="majorEastAsia"/>
      <w:b/>
      <w:sz w:val="28"/>
      <w:szCs w:val="32"/>
    </w:rPr>
  </w:style>
  <w:style w:type="character" w:styleId="ListLabel1">
    <w:name w:val="ListLabel 1"/>
    <w:qFormat/>
    <w:rPr>
      <w:b/>
    </w:rPr>
  </w:style>
  <w:style w:type="character" w:styleId="ListLabel2">
    <w:name w:val="ListLabel 2"/>
    <w:qFormat/>
    <w:rPr>
      <w:b/>
    </w:rPr>
  </w:style>
  <w:style w:type="paragraph" w:styleId="Balk">
    <w:name w:val="Başlık"/>
    <w:basedOn w:val="Normal"/>
    <w:next w:val="MetinGvdesi"/>
    <w:qFormat/>
    <w:pPr>
      <w:keepNext/>
      <w:spacing w:before="240" w:after="120"/>
    </w:pPr>
    <w:rPr>
      <w:rFonts w:ascii="Liberation Sans" w:hAnsi="Liberation Sans" w:eastAsia="Microsoft YaHei" w:cs="Arial"/>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Ndekiler1" w:customStyle="1">
    <w:name w:val="İçndekiler1"/>
    <w:basedOn w:val="Normal"/>
    <w:qFormat/>
    <w:rsid w:val="009955c7"/>
    <w:pPr/>
    <w:rPr>
      <w:rFonts w:eastAsia="游明朝" w:eastAsiaTheme="minorEastAsia"/>
      <w:b/>
      <w:lang w:eastAsia="tr-TR"/>
    </w:rPr>
  </w:style>
  <w:style w:type="paragraph" w:styleId="Indekiler2I" w:customStyle="1">
    <w:name w:val="İçindekiler2 I"/>
    <w:basedOn w:val="Normal"/>
    <w:qFormat/>
    <w:rsid w:val="009955c7"/>
    <w:pPr/>
    <w:rPr>
      <w:rFonts w:eastAsia="游明朝" w:eastAsiaTheme="minorEastAsia"/>
      <w:b/>
      <w:lang w:eastAsia="tr-TR"/>
    </w:rPr>
  </w:style>
  <w:style w:type="paragraph" w:styleId="IndekilerA" w:customStyle="1">
    <w:name w:val="İçindekiler A"/>
    <w:basedOn w:val="Normal"/>
    <w:next w:val="Normal"/>
    <w:qFormat/>
    <w:rsid w:val="009955c7"/>
    <w:pPr/>
    <w:rPr>
      <w:rFonts w:eastAsia="游明朝" w:eastAsiaTheme="minorEastAsia"/>
      <w:b/>
      <w:lang w:eastAsia="tr-TR"/>
    </w:rPr>
  </w:style>
  <w:style w:type="paragraph" w:styleId="Indekiler1" w:customStyle="1">
    <w:name w:val="İçindekiler 1"/>
    <w:basedOn w:val="Normal"/>
    <w:next w:val="Normal"/>
    <w:qFormat/>
    <w:rsid w:val="009955c7"/>
    <w:pPr/>
    <w:rPr>
      <w:rFonts w:eastAsia="游明朝" w:eastAsiaTheme="minorEastAsia"/>
      <w:b/>
      <w:lang w:eastAsia="tr-TR"/>
    </w:rPr>
  </w:style>
  <w:style w:type="paragraph" w:styleId="Indekilera1" w:customStyle="1">
    <w:name w:val="İçindekiler a"/>
    <w:basedOn w:val="Normal"/>
    <w:next w:val="Normal"/>
    <w:qFormat/>
    <w:rsid w:val="009955c7"/>
    <w:pPr/>
    <w:rPr>
      <w:rFonts w:eastAsia="游明朝" w:eastAsiaTheme="minorEastAsia"/>
      <w:b/>
      <w:lang w:eastAsia="tr-TR"/>
    </w:rPr>
  </w:style>
  <w:style w:type="paragraph" w:styleId="ListParagraph">
    <w:name w:val="List Paragraph"/>
    <w:basedOn w:val="Normal"/>
    <w:uiPriority w:val="34"/>
    <w:qFormat/>
    <w:rsid w:val="002610e8"/>
    <w:pPr>
      <w:spacing w:before="0" w:after="240"/>
      <w:ind w:left="720" w:firstLine="851"/>
      <w:contextualSpacing/>
    </w:pPr>
    <w:rPr/>
  </w:style>
  <w:style w:type="paragraph" w:styleId="Ereveerii">
    <w:name w:val="Çerçeve İçeriği"/>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610e8"/>
    <w:pPr>
      <w:spacing w:after="0" w:line="240" w:lineRule="auto"/>
      <w:jc w:val="left"/>
    </w:pPr>
    <w:rPr>
      <w:rFonts w:asciiTheme="minorHAnsi" w:hAnsiTheme="minorHAnsi"/>
      <w:sz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C599-3CEB-D147-BFF4-8895981D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LibreOffice/5.2.2.2$Windows_X86_64 LibreOffice_project/8f96e87c890bf8fa77463cd4b640a2312823f3ad</Application>
  <Pages>2</Pages>
  <Words>535</Words>
  <Characters>3653</Characters>
  <CharactersWithSpaces>4165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2019-05-16T12:08:00Z</dcterms:created>
  <dc:creator>sena.arslan.93@hotmail.com</dc:creator>
  <dc:description/>
  <dc:language>tr-TR</dc:language>
  <cp:lastModifiedBy>Seyda D</cp:lastModifiedBy>
  <dcterms:modified xsi:type="dcterms:W3CDTF">2019-05-16T12:39:00Z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